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  <w:rPr>
          <w:rFonts w:hint="default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 xml:space="preserve">     </w:t>
      </w:r>
      <w:r>
        <w:rPr>
          <w:rFonts w:hint="eastAsia"/>
          <w:shd w:val="clear" w:color="auto" w:fill="FFFFFF"/>
          <w:lang w:eastAsia="zh-CN"/>
        </w:rPr>
        <w:t>附件：</w:t>
      </w:r>
      <w:r>
        <w:rPr>
          <w:rFonts w:hint="eastAsia"/>
          <w:shd w:val="clear" w:color="auto" w:fill="FFFFFF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32"/>
          <w:szCs w:val="32"/>
          <w:shd w:val="clear" w:color="auto" w:fill="FFFFFF"/>
          <w:lang w:val="en-US" w:eastAsia="zh-CN"/>
        </w:rPr>
        <w:t xml:space="preserve"> 装修服务采购明细</w:t>
      </w:r>
    </w:p>
    <w:p>
      <w:pPr>
        <w:rPr>
          <w:rFonts w:hint="eastAsia"/>
        </w:rPr>
      </w:pPr>
    </w:p>
    <w:tbl>
      <w:tblPr>
        <w:tblStyle w:val="3"/>
        <w:tblW w:w="118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115"/>
        <w:gridCol w:w="1080"/>
        <w:gridCol w:w="1155"/>
        <w:gridCol w:w="6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轻钢龙骨双面石膏板隔音墙面内衬岩棉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1、定位放线，安装轻钢龙骨，轻钢龙骨间距450mm-600mm，轻钢龙骨边龙骨用木方固定。2、固定边龙骨用木龙骨涂刷防火涂料2遍。3、将岩棉安装到墙体内。4、用自攻螺丝将石膏板固定到轻钢龙骨上。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墙面基层处理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1、批刮美巢腻子2-3遍。2、造型棚及梁侧面按展开面积计算，因墙面局部潮湿，需做防霉处理。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墙面乳胶漆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调色并喷涂2遍乳胶漆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轻钢龙骨石膏板跌级棚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主、副、边轻钢龙骨骨架，膨胀螺栓，吊筋固定。2、自攻螺丝固定、钉帽擦防锈漆。3、石膏板接缝处填嵌缝石膏，粘贴专用绷带。4、饰面披灰、刷乳胶漆及灯具、石膏线另计。5、乳胶漆、贴壁纸基层处理另记计。6、石膏板及国标龙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棚面基层处理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 批刮美巢腻子2-3遍。2、造型棚及梁侧面按展开面积计算，因墙面局部潮湿，需做防霉处理。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棚面乳胶漆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调色并喷涂2遍乳胶漆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集成墙板安装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38.88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1、含人工费及木龙骨。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瓷砖粘贴(800mm&lt;最大边长)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1、清理现场。2、定位放线，预排瓷砖。3、用水将地面润湿，把瓷砖预先用水泡湿，325R水泥砂浆铺贴瓷砖。4、清洁瓷砖表面。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陶粒墙拆除（墙厚240mm)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1、用铁钎将陶粒混凝土墙体拆除。将拆除的墙体装袋，并运送下楼。（不含垃圾外运）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刨除瓷砖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1、将瓷砖层刨除，并运送下楼。（不含垃圾外运）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强弱电改造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从新布置室内照明线路及开关插座位置，厨房线路因功率较大 ，所有插座均是平方电线（含人工与材料）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水路改造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厨房每个工位预留给水与排水（含人工与材料）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材料运输费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灯具安装工费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人工（安装4个台球桌灯，60个筒灯，15米轨道灯，明装筒灯35个，灯带70米，吊轨40米，棚面高度3500）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电缆布线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人工（从室内主电闸箱到4楼顶布线）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D53F2"/>
    <w:rsid w:val="64DD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2021-06-30T07:02:00Z</dcterms:created>
  <dc:creator>lenovo</dc:creator>
  <cp:lastModifiedBy>lenovo</cp:lastModifiedBy>
  <dcterms:modified xsi:type="dcterms:W3CDTF">2021-06-30T07:03:24Z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013B70EF989B4CAB9B89EEC70E03AF24</vt:lpwstr>
  </property>
</Properties>
</file>